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1F" w:rsidRDefault="002D1C1F">
      <w:pPr>
        <w:pStyle w:val="Heading1"/>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08pt">
            <v:imagedata r:id="rId7" o:title="PH01501J"/>
          </v:shape>
        </w:pict>
      </w:r>
      <w:r>
        <w:rPr>
          <w:b/>
          <w:bCs/>
        </w:rPr>
        <w:tab/>
      </w:r>
      <w:r>
        <w:rPr>
          <w:b/>
          <w:bCs/>
        </w:rPr>
        <w:tab/>
      </w:r>
      <w:r>
        <w:rPr>
          <w:b/>
          <w:bCs/>
        </w:rPr>
        <w:pict>
          <v:shape id="_x0000_i1026" type="#_x0000_t75" style="width:71pt;height:108pt">
            <v:imagedata r:id="rId8" o:title="PH01481J"/>
          </v:shape>
        </w:pict>
      </w:r>
      <w:r>
        <w:rPr>
          <w:b/>
          <w:bCs/>
        </w:rPr>
        <w:tab/>
      </w:r>
      <w:r>
        <w:rPr>
          <w:b/>
          <w:bCs/>
        </w:rPr>
        <w:tab/>
      </w:r>
      <w:r>
        <w:rPr>
          <w:b/>
          <w:bCs/>
        </w:rPr>
        <w:pict>
          <v:shape id="_x0000_i1027" type="#_x0000_t75" style="width:1in;height:108pt">
            <v:imagedata r:id="rId9" o:title="PH01626J"/>
          </v:shape>
        </w:pict>
      </w:r>
      <w:r>
        <w:rPr>
          <w:b/>
          <w:bCs/>
        </w:rPr>
        <w:tab/>
      </w:r>
      <w:r>
        <w:rPr>
          <w:b/>
          <w:bCs/>
        </w:rPr>
        <w:tab/>
      </w:r>
      <w:r>
        <w:rPr>
          <w:b/>
          <w:bCs/>
        </w:rPr>
        <w:pict>
          <v:shape id="_x0000_i1028" type="#_x0000_t75" style="width:71pt;height:108pt">
            <v:imagedata r:id="rId10" o:title="j0101857"/>
          </v:shape>
        </w:pict>
      </w:r>
    </w:p>
    <w:p w:rsidR="002D1C1F" w:rsidRDefault="002D1C1F"/>
    <w:p w:rsidR="002D1C1F" w:rsidRPr="00F851D8" w:rsidRDefault="002D1C1F">
      <w:pPr>
        <w:pStyle w:val="Heading1"/>
        <w:jc w:val="center"/>
        <w:rPr>
          <w:rFonts w:ascii="Calibri" w:hAnsi="Calibri"/>
          <w:b/>
          <w:bCs/>
        </w:rPr>
      </w:pPr>
      <w:r w:rsidRPr="00F851D8">
        <w:rPr>
          <w:rFonts w:ascii="Calibri" w:hAnsi="Calibri"/>
          <w:b/>
          <w:bCs/>
        </w:rPr>
        <w:t>Anglo-American Culture</w:t>
      </w:r>
    </w:p>
    <w:p w:rsidR="00B1124A" w:rsidRPr="00F851D8" w:rsidRDefault="00B1124A" w:rsidP="00B1124A">
      <w:pPr>
        <w:jc w:val="center"/>
        <w:rPr>
          <w:rFonts w:ascii="Calibri" w:hAnsi="Calibri"/>
          <w:sz w:val="28"/>
          <w:szCs w:val="28"/>
        </w:rPr>
      </w:pPr>
      <w:bookmarkStart w:id="0" w:name="_GoBack"/>
      <w:bookmarkEnd w:id="0"/>
    </w:p>
    <w:p w:rsidR="002D1C1F" w:rsidRPr="00F851D8" w:rsidRDefault="002D1C1F">
      <w:pPr>
        <w:ind w:firstLine="720"/>
        <w:rPr>
          <w:rFonts w:ascii="Calibri" w:hAnsi="Calibri"/>
          <w:sz w:val="28"/>
          <w:szCs w:val="28"/>
        </w:rPr>
      </w:pPr>
      <w:r w:rsidRPr="00F851D8">
        <w:rPr>
          <w:rFonts w:ascii="Calibri" w:hAnsi="Calibri"/>
          <w:sz w:val="28"/>
          <w:szCs w:val="28"/>
        </w:rPr>
        <w:t xml:space="preserve">The term “Anglo-Americans” refers to people who were born in or whose ancestors came from mainly European countries, who now live in the United States.  Although immigrants once faced religious bigotry and economic hardship, they have generally been successful in the United States.  </w:t>
      </w:r>
    </w:p>
    <w:p w:rsidR="002D1C1F" w:rsidRPr="00F851D8" w:rsidRDefault="002D1C1F">
      <w:pPr>
        <w:ind w:firstLine="720"/>
        <w:rPr>
          <w:rFonts w:ascii="Calibri" w:hAnsi="Calibri"/>
          <w:sz w:val="28"/>
          <w:szCs w:val="28"/>
        </w:rPr>
      </w:pPr>
    </w:p>
    <w:p w:rsidR="002D1C1F" w:rsidRPr="00F851D8" w:rsidRDefault="00F851D8">
      <w:pPr>
        <w:rPr>
          <w:rFonts w:ascii="Calibri" w:hAnsi="Calibri"/>
          <w:b/>
          <w:bCs/>
          <w:sz w:val="28"/>
          <w:szCs w:val="28"/>
        </w:rPr>
      </w:pPr>
      <w:r w:rsidRPr="00F851D8">
        <w:rPr>
          <w:rFonts w:ascii="Calibri" w:hAnsi="Calibri"/>
          <w:b/>
          <w:bCs/>
          <w:sz w:val="28"/>
          <w:szCs w:val="28"/>
        </w:rPr>
        <w:t xml:space="preserve">Control of </w:t>
      </w:r>
      <w:r w:rsidR="00987BFD">
        <w:rPr>
          <w:rFonts w:ascii="Calibri" w:hAnsi="Calibri"/>
          <w:b/>
          <w:bCs/>
          <w:sz w:val="28"/>
          <w:szCs w:val="28"/>
        </w:rPr>
        <w:t>Environment</w:t>
      </w:r>
      <w:r w:rsidR="002D1C1F" w:rsidRPr="00F851D8">
        <w:rPr>
          <w:rFonts w:ascii="Calibri" w:hAnsi="Calibri"/>
          <w:b/>
          <w:bCs/>
          <w:sz w:val="28"/>
          <w:szCs w:val="28"/>
        </w:rPr>
        <w:t>:</w:t>
      </w:r>
    </w:p>
    <w:p w:rsidR="002D1C1F" w:rsidRPr="00F851D8" w:rsidRDefault="002D1C1F">
      <w:pPr>
        <w:rPr>
          <w:rFonts w:ascii="Calibri" w:hAnsi="Calibri"/>
          <w:sz w:val="28"/>
          <w:szCs w:val="28"/>
        </w:rPr>
      </w:pPr>
    </w:p>
    <w:p w:rsidR="002D1C1F" w:rsidRPr="00F851D8" w:rsidRDefault="00F851D8">
      <w:pPr>
        <w:rPr>
          <w:rFonts w:ascii="Calibri" w:hAnsi="Calibri"/>
          <w:sz w:val="28"/>
          <w:szCs w:val="28"/>
        </w:rPr>
      </w:pPr>
      <w:r w:rsidRPr="00F851D8">
        <w:rPr>
          <w:rFonts w:ascii="Calibri" w:hAnsi="Calibri"/>
          <w:sz w:val="28"/>
          <w:szCs w:val="28"/>
        </w:rPr>
        <w:t>R</w:t>
      </w:r>
      <w:r w:rsidR="002D1C1F" w:rsidRPr="00F851D8">
        <w:rPr>
          <w:rFonts w:ascii="Calibri" w:hAnsi="Calibri"/>
          <w:sz w:val="28"/>
          <w:szCs w:val="28"/>
        </w:rPr>
        <w:t>eli</w:t>
      </w:r>
      <w:r w:rsidRPr="00F851D8">
        <w:rPr>
          <w:rFonts w:ascii="Calibri" w:hAnsi="Calibri"/>
          <w:sz w:val="28"/>
          <w:szCs w:val="28"/>
        </w:rPr>
        <w:t>es</w:t>
      </w:r>
      <w:r w:rsidR="002D1C1F" w:rsidRPr="00F851D8">
        <w:rPr>
          <w:rFonts w:ascii="Calibri" w:hAnsi="Calibri"/>
          <w:sz w:val="28"/>
          <w:szCs w:val="28"/>
        </w:rPr>
        <w:t xml:space="preserve"> on modern health</w:t>
      </w:r>
      <w:r w:rsidRPr="00F851D8">
        <w:rPr>
          <w:rFonts w:ascii="Calibri" w:hAnsi="Calibri"/>
          <w:sz w:val="28"/>
          <w:szCs w:val="28"/>
        </w:rPr>
        <w:t xml:space="preserve"> </w:t>
      </w:r>
      <w:r w:rsidR="00110C32">
        <w:rPr>
          <w:rFonts w:ascii="Calibri" w:hAnsi="Calibri"/>
          <w:sz w:val="28"/>
          <w:szCs w:val="28"/>
        </w:rPr>
        <w:t>care system</w:t>
      </w:r>
    </w:p>
    <w:p w:rsidR="002D1C1F" w:rsidRPr="00F851D8" w:rsidRDefault="002D1C1F">
      <w:pPr>
        <w:rPr>
          <w:rFonts w:ascii="Calibri" w:hAnsi="Calibri"/>
          <w:sz w:val="28"/>
          <w:szCs w:val="28"/>
        </w:rPr>
      </w:pPr>
      <w:r w:rsidRPr="00F851D8">
        <w:rPr>
          <w:rFonts w:ascii="Calibri" w:hAnsi="Calibri"/>
          <w:sz w:val="28"/>
          <w:szCs w:val="28"/>
        </w:rPr>
        <w:t>Some traditional health and illness beliefs</w:t>
      </w:r>
    </w:p>
    <w:p w:rsidR="002D1C1F" w:rsidRPr="00F851D8" w:rsidRDefault="002D1C1F">
      <w:pPr>
        <w:rPr>
          <w:rFonts w:ascii="Calibri" w:hAnsi="Calibri"/>
          <w:sz w:val="28"/>
          <w:szCs w:val="28"/>
        </w:rPr>
      </w:pPr>
      <w:r w:rsidRPr="00F851D8">
        <w:rPr>
          <w:rFonts w:ascii="Calibri" w:hAnsi="Calibri"/>
          <w:sz w:val="28"/>
          <w:szCs w:val="28"/>
        </w:rPr>
        <w:t>Some remaining folk medicine traditions</w:t>
      </w:r>
    </w:p>
    <w:p w:rsidR="002D1C1F" w:rsidRPr="00F851D8" w:rsidRDefault="002D1C1F">
      <w:pPr>
        <w:rPr>
          <w:rFonts w:ascii="Calibri" w:hAnsi="Calibri"/>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 xml:space="preserve">Biological </w:t>
      </w:r>
      <w:r w:rsidR="00F851D8" w:rsidRPr="00F851D8">
        <w:rPr>
          <w:rFonts w:ascii="Calibri" w:hAnsi="Calibri"/>
          <w:b/>
          <w:bCs/>
          <w:sz w:val="28"/>
          <w:szCs w:val="28"/>
        </w:rPr>
        <w:t>Differences</w:t>
      </w:r>
      <w:r w:rsidRPr="00F851D8">
        <w:rPr>
          <w:rFonts w:ascii="Calibri" w:hAnsi="Calibri"/>
          <w:b/>
          <w:bCs/>
          <w:sz w:val="28"/>
          <w:szCs w:val="28"/>
        </w:rPr>
        <w:t>:</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Increased risk for breast cancer, heart disease, diabetes mellitus, and thallasemia</w:t>
      </w:r>
    </w:p>
    <w:p w:rsidR="002D1C1F" w:rsidRPr="00F851D8" w:rsidRDefault="002D1C1F">
      <w:pPr>
        <w:rPr>
          <w:rFonts w:ascii="Calibri" w:hAnsi="Calibri"/>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Social Organization:</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Reliance on nuclear families and extended families</w:t>
      </w:r>
    </w:p>
    <w:p w:rsidR="002D1C1F" w:rsidRPr="00F851D8" w:rsidRDefault="002D1C1F">
      <w:pPr>
        <w:rPr>
          <w:rFonts w:ascii="Calibri" w:hAnsi="Calibri"/>
          <w:sz w:val="28"/>
          <w:szCs w:val="28"/>
        </w:rPr>
      </w:pPr>
      <w:r w:rsidRPr="00F851D8">
        <w:rPr>
          <w:rFonts w:ascii="Calibri" w:hAnsi="Calibri"/>
          <w:sz w:val="28"/>
          <w:szCs w:val="28"/>
        </w:rPr>
        <w:t xml:space="preserve">Primarily Judeo-Christian religion  </w:t>
      </w:r>
    </w:p>
    <w:p w:rsidR="002D1C1F" w:rsidRPr="00F851D8" w:rsidRDefault="002D1C1F">
      <w:pPr>
        <w:rPr>
          <w:rFonts w:ascii="Calibri" w:hAnsi="Calibri"/>
          <w:sz w:val="28"/>
          <w:szCs w:val="28"/>
        </w:rPr>
      </w:pPr>
      <w:r w:rsidRPr="00F851D8">
        <w:rPr>
          <w:rFonts w:ascii="Calibri" w:hAnsi="Calibri"/>
          <w:sz w:val="28"/>
          <w:szCs w:val="28"/>
        </w:rPr>
        <w:t>Community social organizations</w:t>
      </w:r>
    </w:p>
    <w:p w:rsidR="002D1C1F" w:rsidRPr="00F851D8" w:rsidRDefault="002D1C1F">
      <w:pPr>
        <w:rPr>
          <w:rFonts w:ascii="Calibri" w:hAnsi="Calibri"/>
          <w:sz w:val="28"/>
          <w:szCs w:val="28"/>
        </w:rPr>
      </w:pPr>
      <w:r w:rsidRPr="00F851D8">
        <w:rPr>
          <w:rFonts w:ascii="Calibri" w:hAnsi="Calibri"/>
          <w:sz w:val="28"/>
          <w:szCs w:val="28"/>
        </w:rPr>
        <w:t>Individualism is valued, focusing on becoming a self-reliant person with independence and freedom</w:t>
      </w:r>
    </w:p>
    <w:p w:rsidR="002D1C1F" w:rsidRPr="00F851D8" w:rsidRDefault="002D1C1F">
      <w:pPr>
        <w:rPr>
          <w:rFonts w:ascii="Calibri" w:hAnsi="Calibri"/>
          <w:sz w:val="28"/>
          <w:szCs w:val="28"/>
        </w:rPr>
      </w:pPr>
      <w:r w:rsidRPr="00F851D8">
        <w:rPr>
          <w:rFonts w:ascii="Calibri" w:hAnsi="Calibri"/>
          <w:sz w:val="28"/>
          <w:szCs w:val="28"/>
        </w:rPr>
        <w:t>Equal sex rights are valued</w:t>
      </w:r>
    </w:p>
    <w:p w:rsidR="002D1C1F" w:rsidRPr="00F851D8" w:rsidRDefault="002D1C1F">
      <w:pPr>
        <w:rPr>
          <w:rFonts w:ascii="Calibri" w:hAnsi="Calibri"/>
          <w:sz w:val="28"/>
          <w:szCs w:val="28"/>
        </w:rPr>
      </w:pPr>
      <w:r w:rsidRPr="00F851D8">
        <w:rPr>
          <w:rFonts w:ascii="Calibri" w:hAnsi="Calibri"/>
          <w:sz w:val="28"/>
          <w:szCs w:val="28"/>
        </w:rPr>
        <w:t>Less respect for authority and the elderly</w:t>
      </w:r>
    </w:p>
    <w:p w:rsidR="002D1C1F" w:rsidRPr="00F851D8" w:rsidRDefault="002D1C1F">
      <w:pPr>
        <w:rPr>
          <w:rFonts w:ascii="Calibri" w:hAnsi="Calibri"/>
          <w:sz w:val="28"/>
          <w:szCs w:val="28"/>
        </w:rPr>
      </w:pPr>
      <w:r w:rsidRPr="00F851D8">
        <w:rPr>
          <w:rFonts w:ascii="Calibri" w:hAnsi="Calibri"/>
          <w:sz w:val="28"/>
          <w:szCs w:val="28"/>
        </w:rPr>
        <w:t xml:space="preserve">Materialism (things and money) </w:t>
      </w:r>
    </w:p>
    <w:p w:rsidR="002D1C1F" w:rsidRPr="00F851D8" w:rsidRDefault="002D1C1F">
      <w:pPr>
        <w:rPr>
          <w:rFonts w:ascii="Calibri" w:hAnsi="Calibri"/>
          <w:sz w:val="28"/>
          <w:szCs w:val="28"/>
        </w:rPr>
      </w:pPr>
      <w:r w:rsidRPr="00F851D8">
        <w:rPr>
          <w:rFonts w:ascii="Calibri" w:hAnsi="Calibri"/>
          <w:sz w:val="28"/>
          <w:szCs w:val="28"/>
        </w:rPr>
        <w:t>Youth and beauty are valued</w:t>
      </w:r>
    </w:p>
    <w:p w:rsidR="002D1C1F" w:rsidRPr="00F851D8" w:rsidRDefault="002D1C1F">
      <w:pPr>
        <w:rPr>
          <w:rFonts w:ascii="Calibri" w:hAnsi="Calibri"/>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Communication:</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 xml:space="preserve">Usually English is spoken </w:t>
      </w:r>
    </w:p>
    <w:p w:rsidR="002D1C1F" w:rsidRPr="00F851D8" w:rsidRDefault="002D1C1F">
      <w:pPr>
        <w:rPr>
          <w:rFonts w:ascii="Calibri" w:hAnsi="Calibri"/>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Space:</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Eye contact is important to build trust</w:t>
      </w:r>
    </w:p>
    <w:p w:rsidR="002D1C1F" w:rsidRPr="00F851D8" w:rsidRDefault="002D1C1F">
      <w:pPr>
        <w:rPr>
          <w:rFonts w:ascii="Calibri" w:hAnsi="Calibri"/>
          <w:sz w:val="28"/>
          <w:szCs w:val="28"/>
        </w:rPr>
      </w:pPr>
      <w:r w:rsidRPr="00F851D8">
        <w:rPr>
          <w:rFonts w:ascii="Calibri" w:hAnsi="Calibri"/>
          <w:sz w:val="28"/>
          <w:szCs w:val="28"/>
        </w:rPr>
        <w:t>Usually physically non-contact people, somewhat aloof and distant</w:t>
      </w:r>
    </w:p>
    <w:p w:rsidR="002D1C1F" w:rsidRPr="00F851D8" w:rsidRDefault="002D1C1F">
      <w:pPr>
        <w:rPr>
          <w:rFonts w:ascii="Calibri" w:hAnsi="Calibri"/>
          <w:sz w:val="28"/>
          <w:szCs w:val="28"/>
        </w:rPr>
      </w:pPr>
      <w:r w:rsidRPr="00F851D8">
        <w:rPr>
          <w:rFonts w:ascii="Calibri" w:hAnsi="Calibri"/>
          <w:sz w:val="28"/>
          <w:szCs w:val="28"/>
        </w:rPr>
        <w:t>Some people from southern European countries value closer contact and touch</w:t>
      </w:r>
    </w:p>
    <w:p w:rsidR="002D1C1F" w:rsidRPr="00F851D8" w:rsidRDefault="002D1C1F">
      <w:pPr>
        <w:rPr>
          <w:rFonts w:ascii="Calibri" w:hAnsi="Calibri"/>
          <w:b/>
          <w:bCs/>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Time Orientation:</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Focus is on the future over present</w:t>
      </w:r>
    </w:p>
    <w:p w:rsidR="002D1C1F" w:rsidRPr="00F851D8" w:rsidRDefault="002D1C1F">
      <w:pPr>
        <w:rPr>
          <w:rFonts w:ascii="Calibri" w:hAnsi="Calibri"/>
          <w:sz w:val="28"/>
          <w:szCs w:val="28"/>
        </w:rPr>
      </w:pPr>
      <w:r w:rsidRPr="00F851D8">
        <w:rPr>
          <w:rFonts w:ascii="Calibri" w:hAnsi="Calibri"/>
          <w:sz w:val="28"/>
          <w:szCs w:val="28"/>
        </w:rPr>
        <w:t>However, some have a strong allegience to past tradition, with past time orientation</w:t>
      </w:r>
    </w:p>
    <w:p w:rsidR="002D1C1F" w:rsidRPr="00F851D8" w:rsidRDefault="002D1C1F">
      <w:pPr>
        <w:rPr>
          <w:rFonts w:ascii="Calibri" w:hAnsi="Calibri"/>
          <w:sz w:val="28"/>
          <w:szCs w:val="28"/>
        </w:rPr>
      </w:pPr>
      <w:r w:rsidRPr="00F851D8">
        <w:rPr>
          <w:rFonts w:ascii="Calibri" w:hAnsi="Calibri"/>
          <w:sz w:val="28"/>
          <w:szCs w:val="28"/>
        </w:rPr>
        <w:t xml:space="preserve">Some strive for “instant” time and actions </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b/>
          <w:bCs/>
          <w:sz w:val="28"/>
          <w:szCs w:val="28"/>
        </w:rPr>
        <w:t>Cultural beliefs, norms, and practices:</w:t>
      </w:r>
      <w:r w:rsidRPr="00F851D8">
        <w:rPr>
          <w:rFonts w:ascii="Calibri" w:hAnsi="Calibri"/>
          <w:sz w:val="28"/>
          <w:szCs w:val="28"/>
        </w:rPr>
        <w:t>:</w:t>
      </w:r>
    </w:p>
    <w:p w:rsidR="002D1C1F" w:rsidRPr="00F851D8" w:rsidRDefault="002D1C1F">
      <w:pPr>
        <w:numPr>
          <w:ilvl w:val="0"/>
          <w:numId w:val="1"/>
        </w:numPr>
        <w:rPr>
          <w:rFonts w:ascii="Calibri" w:hAnsi="Calibri"/>
          <w:sz w:val="28"/>
          <w:szCs w:val="28"/>
        </w:rPr>
      </w:pPr>
      <w:r w:rsidRPr="00F851D8">
        <w:rPr>
          <w:rFonts w:ascii="Calibri" w:hAnsi="Calibri"/>
          <w:sz w:val="28"/>
          <w:szCs w:val="28"/>
        </w:rPr>
        <w:t>Stress is alleviated by physical and emotional means (Leisure time is highly valued)</w:t>
      </w:r>
    </w:p>
    <w:p w:rsidR="002D1C1F" w:rsidRPr="00F851D8" w:rsidRDefault="002D1C1F">
      <w:pPr>
        <w:numPr>
          <w:ilvl w:val="0"/>
          <w:numId w:val="1"/>
        </w:numPr>
        <w:rPr>
          <w:rFonts w:ascii="Calibri" w:hAnsi="Calibri"/>
          <w:sz w:val="28"/>
          <w:szCs w:val="28"/>
        </w:rPr>
      </w:pPr>
      <w:r w:rsidRPr="00F851D8">
        <w:rPr>
          <w:rFonts w:ascii="Calibri" w:hAnsi="Calibri"/>
          <w:sz w:val="28"/>
          <w:szCs w:val="28"/>
        </w:rPr>
        <w:t>Dependent on technology, and reliant on scientific facts and numbers</w:t>
      </w:r>
    </w:p>
    <w:p w:rsidR="002D1C1F" w:rsidRPr="00F851D8" w:rsidRDefault="002D1C1F">
      <w:pPr>
        <w:numPr>
          <w:ilvl w:val="0"/>
          <w:numId w:val="1"/>
        </w:numPr>
        <w:rPr>
          <w:rFonts w:ascii="Calibri" w:hAnsi="Calibri"/>
          <w:sz w:val="28"/>
          <w:szCs w:val="28"/>
        </w:rPr>
      </w:pPr>
      <w:r w:rsidRPr="00F851D8">
        <w:rPr>
          <w:rFonts w:ascii="Calibri" w:hAnsi="Calibri"/>
          <w:sz w:val="28"/>
          <w:szCs w:val="28"/>
        </w:rPr>
        <w:t>Caring is shown by doing special things and giving individual attention</w:t>
      </w:r>
    </w:p>
    <w:p w:rsidR="002D1C1F" w:rsidRPr="00F851D8" w:rsidRDefault="002D1C1F">
      <w:pPr>
        <w:numPr>
          <w:ilvl w:val="0"/>
          <w:numId w:val="1"/>
        </w:numPr>
        <w:rPr>
          <w:rFonts w:ascii="Calibri" w:hAnsi="Calibri"/>
          <w:sz w:val="28"/>
          <w:szCs w:val="28"/>
        </w:rPr>
      </w:pPr>
      <w:r w:rsidRPr="00F851D8">
        <w:rPr>
          <w:rFonts w:ascii="Calibri" w:hAnsi="Calibri"/>
          <w:sz w:val="28"/>
          <w:szCs w:val="28"/>
        </w:rPr>
        <w:t>Generous in time of crisis</w:t>
      </w:r>
    </w:p>
    <w:p w:rsidR="002D1C1F" w:rsidRPr="00F851D8" w:rsidRDefault="002D1C1F">
      <w:pPr>
        <w:rPr>
          <w:rFonts w:ascii="Calibri" w:hAnsi="Calibri"/>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Culturally Congruent Care:</w:t>
      </w:r>
    </w:p>
    <w:p w:rsidR="002D1C1F" w:rsidRPr="00F851D8" w:rsidRDefault="002D1C1F">
      <w:pPr>
        <w:rPr>
          <w:rFonts w:ascii="Calibri" w:hAnsi="Calibri"/>
          <w:sz w:val="28"/>
          <w:szCs w:val="28"/>
        </w:rPr>
      </w:pPr>
    </w:p>
    <w:p w:rsidR="002D1C1F" w:rsidRPr="00F851D8" w:rsidRDefault="002D1C1F">
      <w:pPr>
        <w:numPr>
          <w:ilvl w:val="0"/>
          <w:numId w:val="1"/>
        </w:numPr>
        <w:rPr>
          <w:rFonts w:ascii="Calibri" w:hAnsi="Calibri"/>
          <w:sz w:val="28"/>
          <w:szCs w:val="28"/>
        </w:rPr>
      </w:pPr>
      <w:r w:rsidRPr="00F851D8">
        <w:rPr>
          <w:rFonts w:ascii="Calibri" w:hAnsi="Calibri"/>
          <w:sz w:val="28"/>
          <w:szCs w:val="28"/>
        </w:rPr>
        <w:t>Use touch sparingly, or with permission of the patient</w:t>
      </w:r>
    </w:p>
    <w:p w:rsidR="002D1C1F" w:rsidRPr="00F851D8" w:rsidRDefault="002D1C1F">
      <w:pPr>
        <w:numPr>
          <w:ilvl w:val="0"/>
          <w:numId w:val="1"/>
        </w:numPr>
        <w:rPr>
          <w:rFonts w:ascii="Calibri" w:hAnsi="Calibri"/>
          <w:sz w:val="28"/>
          <w:szCs w:val="28"/>
        </w:rPr>
      </w:pPr>
      <w:r w:rsidRPr="00F851D8">
        <w:rPr>
          <w:rFonts w:ascii="Calibri" w:hAnsi="Calibri"/>
          <w:sz w:val="28"/>
          <w:szCs w:val="28"/>
        </w:rPr>
        <w:t>Use direct eye contact with conversations</w:t>
      </w:r>
    </w:p>
    <w:p w:rsidR="002D1C1F" w:rsidRPr="00F851D8" w:rsidRDefault="002D1C1F">
      <w:pPr>
        <w:numPr>
          <w:ilvl w:val="0"/>
          <w:numId w:val="1"/>
        </w:numPr>
        <w:rPr>
          <w:rFonts w:ascii="Calibri" w:hAnsi="Calibri"/>
          <w:sz w:val="28"/>
          <w:szCs w:val="28"/>
        </w:rPr>
      </w:pPr>
      <w:r w:rsidRPr="00F851D8">
        <w:rPr>
          <w:rFonts w:ascii="Calibri" w:hAnsi="Calibri"/>
          <w:sz w:val="28"/>
          <w:szCs w:val="28"/>
        </w:rPr>
        <w:t>Trust is important.  Communication and relationship are the key to whether the patient will share significant complaints and whether they will return for care</w:t>
      </w:r>
    </w:p>
    <w:p w:rsidR="002D1C1F" w:rsidRPr="00F851D8" w:rsidRDefault="002D1C1F">
      <w:pPr>
        <w:numPr>
          <w:ilvl w:val="0"/>
          <w:numId w:val="1"/>
        </w:numPr>
        <w:rPr>
          <w:rFonts w:ascii="Calibri" w:hAnsi="Calibri"/>
          <w:sz w:val="28"/>
          <w:szCs w:val="28"/>
        </w:rPr>
      </w:pPr>
      <w:r w:rsidRPr="00F851D8">
        <w:rPr>
          <w:rFonts w:ascii="Calibri" w:hAnsi="Calibri"/>
          <w:sz w:val="28"/>
          <w:szCs w:val="28"/>
        </w:rPr>
        <w:t>Direct disagreement with a health professional would be possible, but another response would be silence and noncompliance</w:t>
      </w:r>
    </w:p>
    <w:p w:rsidR="002D1C1F" w:rsidRPr="00F851D8" w:rsidRDefault="002D1C1F">
      <w:pPr>
        <w:numPr>
          <w:ilvl w:val="0"/>
          <w:numId w:val="1"/>
        </w:numPr>
        <w:rPr>
          <w:rFonts w:ascii="Calibri" w:hAnsi="Calibri"/>
          <w:sz w:val="28"/>
          <w:szCs w:val="28"/>
        </w:rPr>
      </w:pPr>
      <w:r w:rsidRPr="00F851D8">
        <w:rPr>
          <w:rFonts w:ascii="Calibri" w:hAnsi="Calibri"/>
          <w:sz w:val="28"/>
          <w:szCs w:val="28"/>
        </w:rPr>
        <w:lastRenderedPageBreak/>
        <w:t>Give health instruction for self-care, and include “medical facts” in patient teaching</w:t>
      </w:r>
    </w:p>
    <w:p w:rsidR="002D1C1F" w:rsidRPr="00F851D8" w:rsidRDefault="002D1C1F">
      <w:pPr>
        <w:numPr>
          <w:ilvl w:val="0"/>
          <w:numId w:val="1"/>
        </w:numPr>
        <w:rPr>
          <w:rFonts w:ascii="Calibri" w:hAnsi="Calibri"/>
          <w:sz w:val="28"/>
          <w:szCs w:val="28"/>
        </w:rPr>
      </w:pPr>
      <w:r w:rsidRPr="00F851D8">
        <w:rPr>
          <w:rFonts w:ascii="Calibri" w:hAnsi="Calibri"/>
          <w:sz w:val="28"/>
          <w:szCs w:val="28"/>
        </w:rPr>
        <w:t xml:space="preserve">Set short-term and long-term goals with patient </w:t>
      </w:r>
    </w:p>
    <w:p w:rsidR="002D1C1F" w:rsidRPr="00F851D8" w:rsidRDefault="002D1C1F">
      <w:pPr>
        <w:numPr>
          <w:ilvl w:val="0"/>
          <w:numId w:val="1"/>
        </w:numPr>
        <w:rPr>
          <w:rFonts w:ascii="Calibri" w:hAnsi="Calibri"/>
          <w:sz w:val="28"/>
          <w:szCs w:val="28"/>
        </w:rPr>
      </w:pPr>
      <w:r w:rsidRPr="00F851D8">
        <w:rPr>
          <w:rFonts w:ascii="Calibri" w:hAnsi="Calibri"/>
          <w:sz w:val="28"/>
          <w:szCs w:val="28"/>
        </w:rPr>
        <w:t>Family responsibilities come before other responsibilities</w:t>
      </w:r>
    </w:p>
    <w:p w:rsidR="002D1C1F" w:rsidRPr="00F851D8" w:rsidRDefault="002D1C1F">
      <w:pPr>
        <w:numPr>
          <w:ilvl w:val="0"/>
          <w:numId w:val="1"/>
        </w:numPr>
        <w:rPr>
          <w:rFonts w:ascii="Calibri" w:hAnsi="Calibri"/>
          <w:sz w:val="28"/>
          <w:szCs w:val="28"/>
        </w:rPr>
      </w:pPr>
      <w:r w:rsidRPr="00F851D8">
        <w:rPr>
          <w:rFonts w:ascii="Calibri" w:hAnsi="Calibri"/>
          <w:sz w:val="28"/>
          <w:szCs w:val="28"/>
        </w:rPr>
        <w:t>Uphold cultural rituals and practices whenever possible</w:t>
      </w:r>
    </w:p>
    <w:p w:rsidR="002D1C1F" w:rsidRPr="00F851D8" w:rsidRDefault="002D1C1F">
      <w:pPr>
        <w:rPr>
          <w:rFonts w:ascii="Calibri" w:hAnsi="Calibri"/>
          <w:sz w:val="28"/>
          <w:szCs w:val="28"/>
        </w:rPr>
      </w:pPr>
    </w:p>
    <w:p w:rsidR="002D1C1F" w:rsidRPr="00F851D8" w:rsidRDefault="002D1C1F">
      <w:pPr>
        <w:rPr>
          <w:rFonts w:ascii="Calibri" w:hAnsi="Calibri"/>
          <w:b/>
          <w:bCs/>
          <w:sz w:val="28"/>
          <w:szCs w:val="28"/>
        </w:rPr>
      </w:pPr>
      <w:r w:rsidRPr="00F851D8">
        <w:rPr>
          <w:rFonts w:ascii="Calibri" w:hAnsi="Calibri"/>
          <w:b/>
          <w:bCs/>
          <w:sz w:val="28"/>
          <w:szCs w:val="28"/>
        </w:rPr>
        <w:t>References:</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Giger, J.N. &amp; Davidhizar, R.E. (1995). Transcultural nursing assessment and intervention (2</w:t>
      </w:r>
      <w:r w:rsidRPr="00F851D8">
        <w:rPr>
          <w:rFonts w:ascii="Calibri" w:hAnsi="Calibri"/>
          <w:sz w:val="28"/>
          <w:szCs w:val="28"/>
          <w:vertAlign w:val="superscript"/>
        </w:rPr>
        <w:t>nd</w:t>
      </w:r>
      <w:r w:rsidRPr="00F851D8">
        <w:rPr>
          <w:rFonts w:ascii="Calibri" w:hAnsi="Calibri"/>
          <w:sz w:val="28"/>
          <w:szCs w:val="28"/>
        </w:rPr>
        <w:t xml:space="preserve"> ed.). St. Louis: Mosby.</w:t>
      </w:r>
    </w:p>
    <w:p w:rsidR="002D1C1F" w:rsidRPr="00F851D8" w:rsidRDefault="002D1C1F">
      <w:pPr>
        <w:rPr>
          <w:rFonts w:ascii="Calibri" w:hAnsi="Calibri"/>
          <w:sz w:val="28"/>
          <w:szCs w:val="28"/>
        </w:rPr>
      </w:pPr>
    </w:p>
    <w:p w:rsidR="002D1C1F" w:rsidRPr="00F851D8" w:rsidRDefault="002D1C1F">
      <w:pPr>
        <w:rPr>
          <w:rFonts w:ascii="Calibri" w:hAnsi="Calibri"/>
          <w:sz w:val="28"/>
          <w:szCs w:val="28"/>
        </w:rPr>
      </w:pPr>
      <w:r w:rsidRPr="00F851D8">
        <w:rPr>
          <w:rFonts w:ascii="Calibri" w:hAnsi="Calibri"/>
          <w:sz w:val="28"/>
          <w:szCs w:val="28"/>
        </w:rPr>
        <w:t>Leininger, M. (1991). Culture care diversity and universality: A theory of nursing (p. 356). New York: NSN Press.</w:t>
      </w:r>
    </w:p>
    <w:p w:rsidR="002D1C1F" w:rsidRPr="00F851D8" w:rsidRDefault="002D1C1F">
      <w:pPr>
        <w:rPr>
          <w:sz w:val="28"/>
          <w:szCs w:val="28"/>
        </w:rPr>
      </w:pPr>
    </w:p>
    <w:sectPr w:rsidR="002D1C1F" w:rsidRPr="00F851D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E1" w:rsidRDefault="00205BE1" w:rsidP="00F851D8">
      <w:r>
        <w:separator/>
      </w:r>
    </w:p>
  </w:endnote>
  <w:endnote w:type="continuationSeparator" w:id="0">
    <w:p w:rsidR="00205BE1" w:rsidRDefault="00205BE1" w:rsidP="00F8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D8" w:rsidRDefault="00B1124A" w:rsidP="00B1124A">
    <w:pPr>
      <w:pStyle w:val="Footer"/>
      <w:jc w:val="right"/>
    </w:pPr>
    <w:r w:rsidRPr="00B1124A">
      <w:rPr>
        <w:rFonts w:asciiTheme="minorHAnsi" w:hAnsiTheme="minorHAnsi"/>
      </w:rPr>
      <w:t>Created in 2004 by Mary Knutson RN and revised in 2009.</w:t>
    </w:r>
    <w:r>
      <w:tab/>
    </w:r>
    <w:r w:rsidR="00F851D8">
      <w:fldChar w:fldCharType="begin"/>
    </w:r>
    <w:r w:rsidR="00F851D8">
      <w:instrText xml:space="preserve"> PAGE   \* MERGEFORMAT </w:instrText>
    </w:r>
    <w:r w:rsidR="00F851D8">
      <w:fldChar w:fldCharType="separate"/>
    </w:r>
    <w:r w:rsidR="00F54C4D">
      <w:rPr>
        <w:noProof/>
      </w:rPr>
      <w:t>1</w:t>
    </w:r>
    <w:r w:rsidR="00F851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E1" w:rsidRDefault="00205BE1" w:rsidP="00F851D8">
      <w:r>
        <w:separator/>
      </w:r>
    </w:p>
  </w:footnote>
  <w:footnote w:type="continuationSeparator" w:id="0">
    <w:p w:rsidR="00205BE1" w:rsidRDefault="00205BE1" w:rsidP="00F85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122"/>
    <w:multiLevelType w:val="hybridMultilevel"/>
    <w:tmpl w:val="FD567F0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1D8"/>
    <w:rsid w:val="00110C32"/>
    <w:rsid w:val="00205BE1"/>
    <w:rsid w:val="002D1C1F"/>
    <w:rsid w:val="003B53EA"/>
    <w:rsid w:val="00987BFD"/>
    <w:rsid w:val="00B1124A"/>
    <w:rsid w:val="00E207F7"/>
    <w:rsid w:val="00F54C4D"/>
    <w:rsid w:val="00F8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1D8"/>
    <w:pPr>
      <w:tabs>
        <w:tab w:val="center" w:pos="4680"/>
        <w:tab w:val="right" w:pos="9360"/>
      </w:tabs>
    </w:pPr>
  </w:style>
  <w:style w:type="character" w:customStyle="1" w:styleId="HeaderChar">
    <w:name w:val="Header Char"/>
    <w:basedOn w:val="DefaultParagraphFont"/>
    <w:link w:val="Header"/>
    <w:uiPriority w:val="99"/>
    <w:rsid w:val="00F851D8"/>
    <w:rPr>
      <w:sz w:val="24"/>
      <w:szCs w:val="24"/>
    </w:rPr>
  </w:style>
  <w:style w:type="paragraph" w:styleId="Footer">
    <w:name w:val="footer"/>
    <w:basedOn w:val="Normal"/>
    <w:link w:val="FooterChar"/>
    <w:uiPriority w:val="99"/>
    <w:unhideWhenUsed/>
    <w:rsid w:val="00F851D8"/>
    <w:pPr>
      <w:tabs>
        <w:tab w:val="center" w:pos="4680"/>
        <w:tab w:val="right" w:pos="9360"/>
      </w:tabs>
    </w:pPr>
  </w:style>
  <w:style w:type="character" w:customStyle="1" w:styleId="FooterChar">
    <w:name w:val="Footer Char"/>
    <w:basedOn w:val="DefaultParagraphFont"/>
    <w:link w:val="Footer"/>
    <w:uiPriority w:val="99"/>
    <w:rsid w:val="00F85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Hispanic Culture</vt:lpstr>
    </vt:vector>
  </TitlesOfParts>
  <Company>Hewlett-Packard Company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Culture</dc:title>
  <dc:creator>Mary Knutson</dc:creator>
  <cp:lastModifiedBy>Mary</cp:lastModifiedBy>
  <cp:revision>2</cp:revision>
  <cp:lastPrinted>2009-06-08T02:30:00Z</cp:lastPrinted>
  <dcterms:created xsi:type="dcterms:W3CDTF">2015-05-13T04:12:00Z</dcterms:created>
  <dcterms:modified xsi:type="dcterms:W3CDTF">2015-05-13T04:12:00Z</dcterms:modified>
</cp:coreProperties>
</file>