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3B" w:rsidRDefault="00BC613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4pt;margin-top:0;width:67pt;height:85pt;z-index:251657728" fillcolor="#618ffd" strokecolor="white" strokeweight="1pt">
            <v:fill color2="#00b7a5"/>
            <v:imagedata r:id="rId7" o:title=""/>
            <v:shadow color="#919191"/>
            <o:lock v:ext="edit" aspectratio="f"/>
          </v:shape>
        </w:pict>
      </w:r>
      <w:r w:rsidR="00977BD8">
        <w:pict>
          <v:shape id="_x0000_i1025" type="#_x0000_t75" style="width:58pt;height:87pt">
            <v:imagedata r:id="rId8" o:title="PH01975J"/>
          </v:shape>
        </w:pict>
      </w:r>
      <w:r>
        <w:tab/>
      </w:r>
      <w:r>
        <w:tab/>
      </w:r>
      <w:r w:rsidR="00FE1706">
        <w:tab/>
      </w:r>
      <w:r>
        <w:t xml:space="preserve"> </w:t>
      </w:r>
      <w:r w:rsidR="00FE1706">
        <w:pict>
          <v:shape id="_x0000_i1026" type="#_x0000_t75" style="width:128pt;height:48pt">
            <v:imagedata r:id="rId9" o:title="PH02526J"/>
          </v:shape>
        </w:pict>
      </w:r>
    </w:p>
    <w:p w:rsidR="00BC613B" w:rsidRDefault="00BC613B"/>
    <w:p w:rsidR="00BC613B" w:rsidRPr="0043669B" w:rsidRDefault="00BC613B">
      <w:pPr>
        <w:pStyle w:val="Heading1"/>
        <w:jc w:val="center"/>
        <w:rPr>
          <w:rFonts w:ascii="Calibri" w:hAnsi="Calibri"/>
        </w:rPr>
      </w:pPr>
      <w:r w:rsidRPr="0043669B">
        <w:rPr>
          <w:rFonts w:ascii="Calibri" w:hAnsi="Calibri"/>
        </w:rPr>
        <w:t>Hmong Culture</w:t>
      </w:r>
    </w:p>
    <w:p w:rsidR="00BC613B" w:rsidRPr="0043669B" w:rsidRDefault="003C2E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:rsidR="00BC613B" w:rsidRPr="0043669B" w:rsidRDefault="00BC613B">
      <w:pPr>
        <w:jc w:val="center"/>
        <w:rPr>
          <w:rFonts w:ascii="Calibri" w:hAnsi="Calibri"/>
        </w:rPr>
      </w:pPr>
    </w:p>
    <w:p w:rsidR="00BC613B" w:rsidRPr="0043669B" w:rsidRDefault="00BC613B">
      <w:pPr>
        <w:ind w:firstLine="720"/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The Southeast Asian Americans mostly came as refugees to the United States</w:t>
      </w:r>
      <w:r w:rsidR="00FE1706">
        <w:rPr>
          <w:rFonts w:ascii="Calibri" w:hAnsi="Calibri"/>
          <w:sz w:val="28"/>
          <w:szCs w:val="28"/>
        </w:rPr>
        <w:t>. They are mostly</w:t>
      </w:r>
      <w:r w:rsidRPr="0043669B">
        <w:rPr>
          <w:rFonts w:ascii="Calibri" w:hAnsi="Calibri"/>
          <w:sz w:val="28"/>
          <w:szCs w:val="28"/>
        </w:rPr>
        <w:t xml:space="preserve"> Vietnamese, ethnic Chinese, Cambodians (Khmer), Laotians, and Hmong.  Since their arrival, Southeast Asians have resettled throughout the United States, and there continues to be migration from state to state</w:t>
      </w:r>
      <w:r w:rsidR="00FE1706">
        <w:rPr>
          <w:rFonts w:ascii="Calibri" w:hAnsi="Calibri"/>
          <w:sz w:val="28"/>
          <w:szCs w:val="28"/>
        </w:rPr>
        <w:t>,</w:t>
      </w:r>
      <w:r w:rsidRPr="0043669B">
        <w:rPr>
          <w:rFonts w:ascii="Calibri" w:hAnsi="Calibri"/>
          <w:sz w:val="28"/>
          <w:szCs w:val="28"/>
        </w:rPr>
        <w:t xml:space="preserve"> as well as more immigration of refugees.  </w:t>
      </w:r>
    </w:p>
    <w:p w:rsidR="00FE1706" w:rsidRDefault="00BC613B">
      <w:pPr>
        <w:ind w:firstLine="720"/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Hmong originally migrated from Siberia to northern China, but were at war </w:t>
      </w:r>
      <w:r w:rsidR="00FE1706">
        <w:rPr>
          <w:rFonts w:ascii="Calibri" w:hAnsi="Calibri"/>
          <w:sz w:val="28"/>
          <w:szCs w:val="28"/>
        </w:rPr>
        <w:t>after</w:t>
      </w:r>
      <w:r w:rsidRPr="0043669B">
        <w:rPr>
          <w:rFonts w:ascii="Calibri" w:hAnsi="Calibri"/>
          <w:sz w:val="28"/>
          <w:szCs w:val="28"/>
        </w:rPr>
        <w:t xml:space="preserve"> they refused to embrace Chinese culture</w:t>
      </w:r>
      <w:r w:rsidR="00FE1706">
        <w:rPr>
          <w:rFonts w:ascii="Calibri" w:hAnsi="Calibri"/>
          <w:sz w:val="28"/>
          <w:szCs w:val="28"/>
        </w:rPr>
        <w:t xml:space="preserve">. They </w:t>
      </w:r>
      <w:r w:rsidRPr="0043669B">
        <w:rPr>
          <w:rFonts w:ascii="Calibri" w:hAnsi="Calibri"/>
          <w:sz w:val="28"/>
          <w:szCs w:val="28"/>
        </w:rPr>
        <w:t xml:space="preserve">became migrants for many years.  They settled in high-altitude mountain regions of Southeast Asia, for many generations of relative peace and prosperity. </w:t>
      </w:r>
    </w:p>
    <w:p w:rsidR="00BC613B" w:rsidRPr="0043669B" w:rsidRDefault="00FE1706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When</w:t>
      </w:r>
      <w:r w:rsidR="00BC613B" w:rsidRPr="0043669B">
        <w:rPr>
          <w:rFonts w:ascii="Calibri" w:hAnsi="Calibri"/>
          <w:sz w:val="28"/>
          <w:szCs w:val="28"/>
        </w:rPr>
        <w:t xml:space="preserve"> political unrest occurred, </w:t>
      </w:r>
      <w:r>
        <w:rPr>
          <w:rFonts w:ascii="Calibri" w:hAnsi="Calibri"/>
          <w:sz w:val="28"/>
          <w:szCs w:val="28"/>
        </w:rPr>
        <w:t>many people died due to</w:t>
      </w:r>
      <w:r w:rsidR="00BC613B" w:rsidRPr="0043669B">
        <w:rPr>
          <w:rFonts w:ascii="Calibri" w:hAnsi="Calibri"/>
          <w:sz w:val="28"/>
          <w:szCs w:val="28"/>
        </w:rPr>
        <w:t xml:space="preserve"> political involvement with U</w:t>
      </w:r>
      <w:r>
        <w:rPr>
          <w:rFonts w:ascii="Calibri" w:hAnsi="Calibri"/>
          <w:sz w:val="28"/>
          <w:szCs w:val="28"/>
        </w:rPr>
        <w:t xml:space="preserve">.S. </w:t>
      </w:r>
      <w:r w:rsidR="00BC613B" w:rsidRPr="0043669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</w:t>
      </w:r>
      <w:r w:rsidR="00BC613B" w:rsidRPr="0043669B">
        <w:rPr>
          <w:rFonts w:ascii="Calibri" w:hAnsi="Calibri"/>
          <w:sz w:val="28"/>
          <w:szCs w:val="28"/>
        </w:rPr>
        <w:t xml:space="preserve">housands </w:t>
      </w:r>
      <w:r>
        <w:rPr>
          <w:rFonts w:ascii="Calibri" w:hAnsi="Calibri"/>
          <w:sz w:val="28"/>
          <w:szCs w:val="28"/>
        </w:rPr>
        <w:t>left</w:t>
      </w:r>
      <w:r w:rsidR="00BC613B" w:rsidRPr="0043669B">
        <w:rPr>
          <w:rFonts w:ascii="Calibri" w:hAnsi="Calibri"/>
          <w:sz w:val="28"/>
          <w:szCs w:val="28"/>
        </w:rPr>
        <w:t xml:space="preserve"> their homeland for the west, at the end of the 1975 civil war.</w:t>
      </w:r>
    </w:p>
    <w:p w:rsidR="00BC613B" w:rsidRPr="0043669B" w:rsidRDefault="00BC613B">
      <w:pPr>
        <w:ind w:firstLine="720"/>
        <w:rPr>
          <w:rFonts w:ascii="Calibri" w:hAnsi="Calibri"/>
          <w:sz w:val="28"/>
          <w:szCs w:val="28"/>
        </w:rPr>
      </w:pPr>
    </w:p>
    <w:p w:rsidR="00BC613B" w:rsidRPr="0043669B" w:rsidRDefault="0043669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 xml:space="preserve">Control of </w:t>
      </w:r>
      <w:r w:rsidR="00BC613B" w:rsidRPr="0043669B">
        <w:rPr>
          <w:rFonts w:ascii="Calibri" w:hAnsi="Calibri"/>
          <w:b/>
          <w:bCs/>
          <w:sz w:val="28"/>
          <w:szCs w:val="28"/>
        </w:rPr>
        <w:t>Environment: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Traditional health and illness beliefs continue, such as folk medicine and traditional healers 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 xml:space="preserve">Biological </w:t>
      </w:r>
      <w:r w:rsidR="0043669B" w:rsidRPr="0043669B">
        <w:rPr>
          <w:rFonts w:ascii="Calibri" w:hAnsi="Calibri"/>
          <w:b/>
          <w:bCs/>
          <w:sz w:val="28"/>
          <w:szCs w:val="28"/>
        </w:rPr>
        <w:t>Differences</w:t>
      </w:r>
      <w:r w:rsidRPr="0043669B">
        <w:rPr>
          <w:rFonts w:ascii="Calibri" w:hAnsi="Calibri"/>
          <w:b/>
          <w:bCs/>
          <w:sz w:val="28"/>
          <w:szCs w:val="28"/>
        </w:rPr>
        <w:t>: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Southeast Asian Americans have risk for anemias, lactose intolerance, and infections diseases among overcrowded refugees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Social Organization: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Hmong </w:t>
      </w:r>
      <w:r w:rsidR="00F02B18">
        <w:rPr>
          <w:rFonts w:ascii="Calibri" w:hAnsi="Calibri"/>
          <w:sz w:val="28"/>
          <w:szCs w:val="28"/>
        </w:rPr>
        <w:t xml:space="preserve">people </w:t>
      </w:r>
      <w:r w:rsidRPr="0043669B">
        <w:rPr>
          <w:rFonts w:ascii="Calibri" w:hAnsi="Calibri"/>
          <w:sz w:val="28"/>
          <w:szCs w:val="28"/>
        </w:rPr>
        <w:t xml:space="preserve">have strong ethnic identity, social </w:t>
      </w:r>
      <w:r w:rsidR="00977BD8">
        <w:rPr>
          <w:rFonts w:ascii="Calibri" w:hAnsi="Calibri"/>
          <w:sz w:val="28"/>
          <w:szCs w:val="28"/>
        </w:rPr>
        <w:t>unity</w:t>
      </w:r>
      <w:r w:rsidRPr="0043669B">
        <w:rPr>
          <w:rFonts w:ascii="Calibri" w:hAnsi="Calibri"/>
          <w:sz w:val="28"/>
          <w:szCs w:val="28"/>
        </w:rPr>
        <w:t xml:space="preserve">, and close family </w:t>
      </w:r>
      <w:r w:rsidR="00977BD8">
        <w:rPr>
          <w:rFonts w:ascii="Calibri" w:hAnsi="Calibri"/>
          <w:sz w:val="28"/>
          <w:szCs w:val="28"/>
        </w:rPr>
        <w:t xml:space="preserve">ties </w:t>
      </w: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lastRenderedPageBreak/>
        <w:t xml:space="preserve">Hmong clans recruit new members </w:t>
      </w:r>
      <w:r w:rsidR="00FE1706">
        <w:rPr>
          <w:rFonts w:ascii="Calibri" w:hAnsi="Calibri"/>
          <w:sz w:val="28"/>
          <w:szCs w:val="28"/>
        </w:rPr>
        <w:t>mostl</w:t>
      </w:r>
      <w:r w:rsidRPr="0043669B">
        <w:rPr>
          <w:rFonts w:ascii="Calibri" w:hAnsi="Calibri"/>
          <w:sz w:val="28"/>
          <w:szCs w:val="28"/>
        </w:rPr>
        <w:t>y through marriages.  Women may not marry someone with the same last name (</w:t>
      </w:r>
      <w:r w:rsidR="00FE1706">
        <w:rPr>
          <w:rFonts w:ascii="Calibri" w:hAnsi="Calibri"/>
          <w:sz w:val="28"/>
          <w:szCs w:val="28"/>
        </w:rPr>
        <w:t>since they are from</w:t>
      </w:r>
      <w:r w:rsidRPr="0043669B">
        <w:rPr>
          <w:rFonts w:ascii="Calibri" w:hAnsi="Calibri"/>
          <w:sz w:val="28"/>
          <w:szCs w:val="28"/>
        </w:rPr>
        <w:t xml:space="preserve"> her clan)</w:t>
      </w: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Women do not change their name when married, but </w:t>
      </w:r>
      <w:r w:rsidR="0037131A">
        <w:rPr>
          <w:rFonts w:ascii="Calibri" w:hAnsi="Calibri"/>
          <w:sz w:val="28"/>
          <w:szCs w:val="28"/>
        </w:rPr>
        <w:t xml:space="preserve">it is acceptable to </w:t>
      </w:r>
      <w:r w:rsidR="00FE1706">
        <w:rPr>
          <w:rFonts w:ascii="Calibri" w:hAnsi="Calibri"/>
          <w:sz w:val="28"/>
          <w:szCs w:val="28"/>
        </w:rPr>
        <w:t>say</w:t>
      </w:r>
      <w:r w:rsidR="0037131A">
        <w:rPr>
          <w:rFonts w:ascii="Calibri" w:hAnsi="Calibri"/>
          <w:sz w:val="28"/>
          <w:szCs w:val="28"/>
        </w:rPr>
        <w:t xml:space="preserve"> either her</w:t>
      </w:r>
      <w:r w:rsidR="00F02B18">
        <w:rPr>
          <w:rFonts w:ascii="Calibri" w:hAnsi="Calibri"/>
          <w:sz w:val="28"/>
          <w:szCs w:val="28"/>
        </w:rPr>
        <w:t xml:space="preserve"> last name,</w:t>
      </w:r>
      <w:r w:rsidR="0037131A">
        <w:rPr>
          <w:rFonts w:ascii="Calibri" w:hAnsi="Calibri"/>
          <w:sz w:val="28"/>
          <w:szCs w:val="28"/>
        </w:rPr>
        <w:t xml:space="preserve"> or h</w:t>
      </w:r>
      <w:r w:rsidRPr="0043669B">
        <w:rPr>
          <w:rFonts w:ascii="Calibri" w:hAnsi="Calibri"/>
          <w:sz w:val="28"/>
          <w:szCs w:val="28"/>
        </w:rPr>
        <w:t xml:space="preserve">er husband’s last name </w:t>
      </w: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Newlywed couples usually reside with the groom’s family</w:t>
      </w: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Widowed women may marry a brother of her late husband</w:t>
      </w:r>
    </w:p>
    <w:p w:rsidR="00BC613B" w:rsidRPr="0043669B" w:rsidRDefault="00F02B18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BC613B" w:rsidRPr="0043669B">
        <w:rPr>
          <w:rFonts w:ascii="Calibri" w:hAnsi="Calibri"/>
          <w:sz w:val="28"/>
          <w:szCs w:val="28"/>
        </w:rPr>
        <w:t>roperty and resources may be pooled under control of the clan leaders</w:t>
      </w:r>
    </w:p>
    <w:p w:rsidR="00F02B18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Community social structures </w:t>
      </w:r>
      <w:r w:rsidR="00F02B18">
        <w:rPr>
          <w:rFonts w:ascii="Calibri" w:hAnsi="Calibri"/>
          <w:sz w:val="28"/>
          <w:szCs w:val="28"/>
        </w:rPr>
        <w:t>have power</w:t>
      </w:r>
      <w:r w:rsidRPr="0043669B">
        <w:rPr>
          <w:rFonts w:ascii="Calibri" w:hAnsi="Calibri"/>
          <w:sz w:val="28"/>
          <w:szCs w:val="28"/>
        </w:rPr>
        <w:t xml:space="preserve">, </w:t>
      </w:r>
      <w:r w:rsidR="00F02B18">
        <w:rPr>
          <w:rFonts w:ascii="Calibri" w:hAnsi="Calibri"/>
          <w:sz w:val="28"/>
          <w:szCs w:val="28"/>
        </w:rPr>
        <w:t>keeping people together to</w:t>
      </w:r>
      <w:r w:rsidRPr="0043669B">
        <w:rPr>
          <w:rFonts w:ascii="Calibri" w:hAnsi="Calibri"/>
          <w:sz w:val="28"/>
          <w:szCs w:val="28"/>
        </w:rPr>
        <w:t xml:space="preserve"> maintain </w:t>
      </w:r>
      <w:r w:rsidR="00F02B18">
        <w:rPr>
          <w:rFonts w:ascii="Calibri" w:hAnsi="Calibri"/>
          <w:sz w:val="28"/>
          <w:szCs w:val="28"/>
        </w:rPr>
        <w:t>cultural roots</w:t>
      </w: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Strong reliance on </w:t>
      </w:r>
      <w:r w:rsidR="00F02B18">
        <w:rPr>
          <w:rFonts w:ascii="Calibri" w:hAnsi="Calibri"/>
          <w:sz w:val="28"/>
          <w:szCs w:val="28"/>
        </w:rPr>
        <w:t>close</w:t>
      </w:r>
      <w:r w:rsidRPr="0043669B">
        <w:rPr>
          <w:rFonts w:ascii="Calibri" w:hAnsi="Calibri"/>
          <w:sz w:val="28"/>
          <w:szCs w:val="28"/>
        </w:rPr>
        <w:t xml:space="preserve"> families with large, extended family networks</w:t>
      </w:r>
    </w:p>
    <w:p w:rsidR="00BC613B" w:rsidRPr="0043669B" w:rsidRDefault="00BC613B" w:rsidP="00977BD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Father or oldest male in the family may make health decisions for others in the family, but clan leaders have the ultimate decision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Communication:</w:t>
      </w:r>
      <w:r w:rsidR="00FE1706">
        <w:rPr>
          <w:rFonts w:ascii="Calibri" w:hAnsi="Calibri"/>
          <w:b/>
          <w:bCs/>
          <w:sz w:val="28"/>
          <w:szCs w:val="28"/>
        </w:rPr>
        <w:t xml:space="preserve">   </w:t>
      </w:r>
      <w:r w:rsidRPr="0043669B">
        <w:rPr>
          <w:rFonts w:ascii="Calibri" w:hAnsi="Calibri"/>
          <w:sz w:val="28"/>
          <w:szCs w:val="28"/>
        </w:rPr>
        <w:t>Hmong is the primary language. Language barriers are common, but children are usually bilingual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Space:</w:t>
      </w:r>
      <w:r w:rsidR="00FE1706">
        <w:rPr>
          <w:rFonts w:ascii="Calibri" w:hAnsi="Calibri"/>
          <w:b/>
          <w:bCs/>
          <w:sz w:val="28"/>
          <w:szCs w:val="28"/>
        </w:rPr>
        <w:t xml:space="preserve">    </w:t>
      </w:r>
      <w:r w:rsidRPr="0043669B">
        <w:rPr>
          <w:rFonts w:ascii="Calibri" w:hAnsi="Calibri"/>
          <w:sz w:val="28"/>
          <w:szCs w:val="28"/>
        </w:rPr>
        <w:t xml:space="preserve">Hmong </w:t>
      </w:r>
      <w:r w:rsidR="005E01E1">
        <w:rPr>
          <w:rFonts w:ascii="Calibri" w:hAnsi="Calibri"/>
          <w:sz w:val="28"/>
          <w:szCs w:val="28"/>
        </w:rPr>
        <w:t xml:space="preserve">people </w:t>
      </w:r>
      <w:r w:rsidRPr="0043669B">
        <w:rPr>
          <w:rFonts w:ascii="Calibri" w:hAnsi="Calibri"/>
          <w:sz w:val="28"/>
          <w:szCs w:val="28"/>
        </w:rPr>
        <w:t>are happy and hospitable. They do not feel comfortable with direct eye contact</w:t>
      </w:r>
      <w:r w:rsidR="0037131A">
        <w:rPr>
          <w:rFonts w:ascii="Calibri" w:hAnsi="Calibri"/>
          <w:sz w:val="28"/>
          <w:szCs w:val="28"/>
        </w:rPr>
        <w:t>.</w:t>
      </w:r>
      <w:r w:rsidRPr="0043669B">
        <w:rPr>
          <w:rFonts w:ascii="Calibri" w:hAnsi="Calibri"/>
          <w:sz w:val="28"/>
          <w:szCs w:val="28"/>
        </w:rPr>
        <w:t xml:space="preserve">  </w:t>
      </w: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Time Orientation: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Focus is on the present.  They don’t typically look to the future for health care, and may not keep follow-up appointments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Cultural beliefs, norms, and practices:</w:t>
      </w:r>
    </w:p>
    <w:p w:rsidR="00BC613B" w:rsidRPr="0043669B" w:rsidRDefault="00BC613B">
      <w:pPr>
        <w:ind w:left="360"/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Health beliefs include:</w:t>
      </w:r>
    </w:p>
    <w:p w:rsidR="00BC613B" w:rsidRPr="0043669B" w:rsidRDefault="00BC613B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Health and illness result from the relationship between the person and elements in the universe.</w:t>
      </w:r>
    </w:p>
    <w:p w:rsidR="00BC613B" w:rsidRPr="0043669B" w:rsidRDefault="00BC613B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Religious beliefs (animism) and health practices combine natural and supernatural worlds </w:t>
      </w:r>
    </w:p>
    <w:p w:rsidR="00BC613B" w:rsidRPr="0043669B" w:rsidRDefault="00BC613B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Illness is from soul loss, witchcraft, and evil spirit possession</w:t>
      </w:r>
    </w:p>
    <w:p w:rsidR="00BC613B" w:rsidRPr="0043669B" w:rsidRDefault="00BC613B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Folk healer, called a shaman is believed to have healing power from the gods</w:t>
      </w:r>
    </w:p>
    <w:p w:rsidR="00BC613B" w:rsidRPr="0043669B" w:rsidRDefault="00BC613B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lastRenderedPageBreak/>
        <w:t>Amulets, charms, knotted strings, special cloths, massage, herbal preparations,  “cupping”, or “coining” of skin are some folk remedies</w:t>
      </w:r>
    </w:p>
    <w:p w:rsidR="00BC613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Traditional foods include home grown vegetables, fresh meat, and few sweets</w:t>
      </w:r>
      <w:r w:rsidR="00977BD8">
        <w:rPr>
          <w:rFonts w:ascii="Calibri" w:hAnsi="Calibri"/>
          <w:sz w:val="28"/>
          <w:szCs w:val="28"/>
        </w:rPr>
        <w:t>. C</w:t>
      </w:r>
      <w:r w:rsidRPr="0043669B">
        <w:rPr>
          <w:rFonts w:ascii="Calibri" w:hAnsi="Calibri"/>
          <w:sz w:val="28"/>
          <w:szCs w:val="28"/>
        </w:rPr>
        <w:t>hildren may request “American food”</w:t>
      </w:r>
    </w:p>
    <w:p w:rsidR="0037131A" w:rsidRPr="0043669B" w:rsidRDefault="0037131A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After giving birth, traditional women follow a diet of chicken, rice, and hot water for 30 days 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Culturally Congruent Care: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206CD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Prefers</w:t>
      </w:r>
      <w:r w:rsidR="00BC613B" w:rsidRPr="0043669B">
        <w:rPr>
          <w:rFonts w:ascii="Calibri" w:hAnsi="Calibri"/>
          <w:sz w:val="28"/>
          <w:szCs w:val="28"/>
        </w:rPr>
        <w:t xml:space="preserve"> less direct eye contact</w:t>
      </w:r>
      <w:r w:rsidR="00B371FF">
        <w:rPr>
          <w:rFonts w:ascii="Calibri" w:hAnsi="Calibri"/>
          <w:sz w:val="28"/>
          <w:szCs w:val="28"/>
        </w:rPr>
        <w:t>. R</w:t>
      </w:r>
      <w:r w:rsidR="00BC613B" w:rsidRPr="0043669B">
        <w:rPr>
          <w:rFonts w:ascii="Calibri" w:hAnsi="Calibri"/>
          <w:sz w:val="28"/>
          <w:szCs w:val="28"/>
        </w:rPr>
        <w:t>espectful and warm formal conversations</w:t>
      </w:r>
      <w:r w:rsidR="00B371FF">
        <w:rPr>
          <w:rFonts w:ascii="Calibri" w:hAnsi="Calibri"/>
          <w:sz w:val="28"/>
          <w:szCs w:val="28"/>
        </w:rPr>
        <w:t xml:space="preserve"> help build trust</w:t>
      </w: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Communication and relationship are the key to whether the patient will share significant complaints and whether they will return for care</w:t>
      </w: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Direct disagreement with a health professional would be uncommon; the usual response would be silence and </w:t>
      </w:r>
      <w:r w:rsidR="00977BD8">
        <w:rPr>
          <w:rFonts w:ascii="Calibri" w:hAnsi="Calibri"/>
          <w:sz w:val="28"/>
          <w:szCs w:val="28"/>
        </w:rPr>
        <w:t>then not cooperating</w:t>
      </w: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When listening to health professionals, they will frequently nod and say, “yes”. Keep in mind that it means, “yes, I am listening to you,” not “yes, I understand,” or “yes, I agree.”</w:t>
      </w:r>
    </w:p>
    <w:p w:rsidR="00BC613B" w:rsidRPr="0043669B" w:rsidRDefault="00206CD0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Health d</w:t>
      </w:r>
      <w:r w:rsidR="00BC613B" w:rsidRPr="0043669B">
        <w:rPr>
          <w:rFonts w:ascii="Calibri" w:hAnsi="Calibri"/>
          <w:sz w:val="28"/>
          <w:szCs w:val="28"/>
        </w:rPr>
        <w:t xml:space="preserve">ecisions </w:t>
      </w:r>
      <w:r>
        <w:rPr>
          <w:rFonts w:ascii="Calibri" w:hAnsi="Calibri"/>
          <w:sz w:val="28"/>
          <w:szCs w:val="28"/>
        </w:rPr>
        <w:t>are</w:t>
      </w:r>
      <w:r w:rsidR="00BC613B" w:rsidRPr="0043669B">
        <w:rPr>
          <w:rFonts w:ascii="Calibri" w:hAnsi="Calibri"/>
          <w:sz w:val="28"/>
          <w:szCs w:val="28"/>
        </w:rPr>
        <w:t xml:space="preserve"> made</w:t>
      </w:r>
      <w:r>
        <w:rPr>
          <w:rFonts w:ascii="Calibri" w:hAnsi="Calibri"/>
          <w:sz w:val="28"/>
          <w:szCs w:val="28"/>
        </w:rPr>
        <w:t xml:space="preserve"> by </w:t>
      </w:r>
      <w:r w:rsidR="00BC613B" w:rsidRPr="0043669B">
        <w:rPr>
          <w:rFonts w:ascii="Calibri" w:hAnsi="Calibri"/>
          <w:sz w:val="28"/>
          <w:szCs w:val="28"/>
        </w:rPr>
        <w:t xml:space="preserve">the head of household, </w:t>
      </w:r>
      <w:r>
        <w:rPr>
          <w:rFonts w:ascii="Calibri" w:hAnsi="Calibri"/>
          <w:sz w:val="28"/>
          <w:szCs w:val="28"/>
        </w:rPr>
        <w:t>and/or</w:t>
      </w:r>
      <w:r w:rsidR="00BC613B" w:rsidRPr="0043669B">
        <w:rPr>
          <w:rFonts w:ascii="Calibri" w:hAnsi="Calibri"/>
          <w:sz w:val="28"/>
          <w:szCs w:val="28"/>
        </w:rPr>
        <w:t xml:space="preserve"> elders of the clan </w:t>
      </w: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Hmong </w:t>
      </w:r>
      <w:r w:rsidR="00977BD8">
        <w:rPr>
          <w:rFonts w:ascii="Calibri" w:hAnsi="Calibri"/>
          <w:sz w:val="28"/>
          <w:szCs w:val="28"/>
        </w:rPr>
        <w:t>people</w:t>
      </w:r>
      <w:r w:rsidRPr="0043669B">
        <w:rPr>
          <w:rFonts w:ascii="Calibri" w:hAnsi="Calibri"/>
          <w:sz w:val="28"/>
          <w:szCs w:val="28"/>
        </w:rPr>
        <w:t xml:space="preserve"> often come late, or miss appointments. They prefer walk-in clinics where waits are shorter, or traditional folk healers</w:t>
      </w: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Family responsibilities come before all other responsibilities</w:t>
      </w:r>
    </w:p>
    <w:p w:rsidR="00BC613B" w:rsidRPr="0043669B" w:rsidRDefault="00BC613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Uphold cultural rituals and practices whenever possible</w:t>
      </w:r>
    </w:p>
    <w:p w:rsidR="0043669B" w:rsidRDefault="0043669B">
      <w:pPr>
        <w:rPr>
          <w:rFonts w:ascii="Calibri" w:hAnsi="Calibri"/>
          <w:b/>
          <w:bCs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  <w:r w:rsidRPr="0043669B">
        <w:rPr>
          <w:rFonts w:ascii="Calibri" w:hAnsi="Calibri"/>
          <w:b/>
          <w:bCs/>
          <w:sz w:val="28"/>
          <w:szCs w:val="28"/>
        </w:rPr>
        <w:t>References:</w:t>
      </w:r>
    </w:p>
    <w:p w:rsidR="00BC613B" w:rsidRPr="0043669B" w:rsidRDefault="00BC613B">
      <w:pPr>
        <w:rPr>
          <w:rFonts w:ascii="Calibri" w:hAnsi="Calibri"/>
          <w:b/>
          <w:bCs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 xml:space="preserve">Betancourt, D. Cultural diversity: Eating in America-Hmong. Retrieved September 19, 2004, from Ohio State University Extension Web site: </w:t>
      </w:r>
      <w:hyperlink r:id="rId10" w:history="1">
        <w:r w:rsidRPr="0043669B">
          <w:rPr>
            <w:rStyle w:val="Hyperlink"/>
            <w:rFonts w:ascii="Calibri" w:hAnsi="Calibri"/>
            <w:sz w:val="28"/>
            <w:szCs w:val="28"/>
          </w:rPr>
          <w:t>http://ohioline.osu.edu/hyg-fact/5000/5254.html</w:t>
        </w:r>
      </w:hyperlink>
      <w:r w:rsidRPr="0043669B">
        <w:rPr>
          <w:rFonts w:ascii="Calibri" w:hAnsi="Calibri"/>
          <w:sz w:val="28"/>
          <w:szCs w:val="28"/>
        </w:rPr>
        <w:t xml:space="preserve"> 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>
      <w:pPr>
        <w:rPr>
          <w:rFonts w:ascii="Calibri" w:hAnsi="Calibri"/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Giger, J.N. &amp; Davidhizar, R.E. (1995). Transcultural nursing assessment and intervention (2</w:t>
      </w:r>
      <w:r w:rsidRPr="0043669B">
        <w:rPr>
          <w:rFonts w:ascii="Calibri" w:hAnsi="Calibri"/>
          <w:sz w:val="28"/>
          <w:szCs w:val="28"/>
          <w:vertAlign w:val="superscript"/>
        </w:rPr>
        <w:t>nd</w:t>
      </w:r>
      <w:r w:rsidRPr="0043669B">
        <w:rPr>
          <w:rFonts w:ascii="Calibri" w:hAnsi="Calibri"/>
          <w:sz w:val="28"/>
          <w:szCs w:val="28"/>
        </w:rPr>
        <w:t xml:space="preserve"> ed.). St. Louis: Mosby.</w:t>
      </w:r>
    </w:p>
    <w:p w:rsidR="00BC613B" w:rsidRPr="0043669B" w:rsidRDefault="00BC613B">
      <w:pPr>
        <w:rPr>
          <w:rFonts w:ascii="Calibri" w:hAnsi="Calibri"/>
          <w:sz w:val="28"/>
          <w:szCs w:val="28"/>
        </w:rPr>
      </w:pPr>
    </w:p>
    <w:p w:rsidR="00BC613B" w:rsidRPr="0043669B" w:rsidRDefault="00BC613B" w:rsidP="00977BD8">
      <w:pPr>
        <w:rPr>
          <w:sz w:val="28"/>
          <w:szCs w:val="28"/>
        </w:rPr>
      </w:pPr>
      <w:r w:rsidRPr="0043669B">
        <w:rPr>
          <w:rFonts w:ascii="Calibri" w:hAnsi="Calibri"/>
          <w:sz w:val="28"/>
          <w:szCs w:val="28"/>
        </w:rPr>
        <w:t>Julia, M. C. (1996). Asian Americans. In Multicultural awareness in the health care professions (pp. 77-105). Boston: Allyn &amp; Bacon.</w:t>
      </w:r>
    </w:p>
    <w:sectPr w:rsidR="00BC613B" w:rsidRPr="0043669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B5" w:rsidRDefault="00D701B5" w:rsidP="0043669B">
      <w:r>
        <w:separator/>
      </w:r>
    </w:p>
  </w:endnote>
  <w:endnote w:type="continuationSeparator" w:id="0">
    <w:p w:rsidR="00D701B5" w:rsidRDefault="00D701B5" w:rsidP="0043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9B" w:rsidRDefault="003C2E13" w:rsidP="003C2E13">
    <w:pPr>
      <w:pStyle w:val="Footer"/>
      <w:jc w:val="right"/>
    </w:pPr>
    <w:r w:rsidRPr="003C2E13">
      <w:rPr>
        <w:rFonts w:ascii="Calibri" w:hAnsi="Calibri"/>
      </w:rPr>
      <w:t>Created in 2004 by Mary Knutson RN and revised in 2009.</w:t>
    </w:r>
    <w:r>
      <w:rPr>
        <w:rFonts w:ascii="Calibri" w:hAnsi="Calibri"/>
      </w:rPr>
      <w:tab/>
    </w:r>
    <w:r w:rsidR="0043669B">
      <w:fldChar w:fldCharType="begin"/>
    </w:r>
    <w:r w:rsidR="0043669B">
      <w:instrText xml:space="preserve"> PAGE   \* MERGEFORMAT </w:instrText>
    </w:r>
    <w:r w:rsidR="0043669B">
      <w:fldChar w:fldCharType="separate"/>
    </w:r>
    <w:r w:rsidR="00C80224">
      <w:rPr>
        <w:noProof/>
      </w:rPr>
      <w:t>1</w:t>
    </w:r>
    <w:r w:rsidR="0043669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B5" w:rsidRDefault="00D701B5" w:rsidP="0043669B">
      <w:r>
        <w:separator/>
      </w:r>
    </w:p>
  </w:footnote>
  <w:footnote w:type="continuationSeparator" w:id="0">
    <w:p w:rsidR="00D701B5" w:rsidRDefault="00D701B5" w:rsidP="0043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ABA"/>
    <w:multiLevelType w:val="hybridMultilevel"/>
    <w:tmpl w:val="58900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122"/>
    <w:multiLevelType w:val="hybridMultilevel"/>
    <w:tmpl w:val="FD567F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69B"/>
    <w:rsid w:val="00206CD0"/>
    <w:rsid w:val="0037131A"/>
    <w:rsid w:val="003C2E13"/>
    <w:rsid w:val="0043669B"/>
    <w:rsid w:val="005E01E1"/>
    <w:rsid w:val="00977BD8"/>
    <w:rsid w:val="00B371FF"/>
    <w:rsid w:val="00BC613B"/>
    <w:rsid w:val="00C80224"/>
    <w:rsid w:val="00CC4AE1"/>
    <w:rsid w:val="00D701B5"/>
    <w:rsid w:val="00F02B18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hioline.osu.edu/hyg-fact/5000/525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Hmong Culture</vt:lpstr>
    </vt:vector>
  </TitlesOfParts>
  <Company>Hewlett-Packard Company</Company>
  <LinksUpToDate>false</LinksUpToDate>
  <CharactersWithSpaces>4445</CharactersWithSpaces>
  <SharedDoc>false</SharedDoc>
  <HLinks>
    <vt:vector size="6" baseType="variant"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http://ohioline.osu.edu/hyg-fact/5000/5254.html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Hmong Culture</dc:title>
  <dc:creator>Mary Knutson</dc:creator>
  <cp:lastModifiedBy>Mary</cp:lastModifiedBy>
  <cp:revision>2</cp:revision>
  <cp:lastPrinted>2009-07-04T00:40:00Z</cp:lastPrinted>
  <dcterms:created xsi:type="dcterms:W3CDTF">2015-05-13T04:18:00Z</dcterms:created>
  <dcterms:modified xsi:type="dcterms:W3CDTF">2015-05-13T04:18:00Z</dcterms:modified>
</cp:coreProperties>
</file>